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18C68F26" w14:textId="59BEB2EA" w:rsidR="00334BA8" w:rsidRPr="00334BA8" w:rsidRDefault="00783E31" w:rsidP="00334BA8">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334BA8" w:rsidRPr="00334BA8">
        <w:rPr>
          <w:rFonts w:ascii="Gotham Book" w:hAnsi="Gotham Book" w:cs="Century Gothic"/>
          <w:bCs/>
          <w:noProof/>
          <w:sz w:val="20"/>
          <w:szCs w:val="20"/>
        </w:rPr>
        <w:t>The Cascade River VOR-7249.2008 shall include two (2) Basins, three (3) Play Ponds, two (2) molded polymer ORBS and four (4) Waves. The Basins assembly: shall be constructed of curved tubing made of 304/304L stainless-steel structural tubing with an outside diameter of 2.375” (60mm) and a wall thickness of 0.109” (2.8mm). The overall height of Basins assembly shall be no less than 32.5” (82.5cm). The Play Pond structures shall be constructed of curved tubing made of 304/304L stainless-steel with an outside diameter of 3.50” (8.9cm) and a wall thickness of 0.12” (3.0mm) and stainless-steel sheet pieces of thickness 1/4” (6.3mm) and 3/8” (9.5 mm). The Basins shall be constructed of 3/16” (4.7mm) translucent SEEFLOW™ polymer. The Play Ponds and Wave shall be constructed of 1/2” (12.7 mm) translucent SEEFLOW™ polymer. The two ORBS and three Wave spin freely by means of a mechanism of low friction polymer bushings and are propelled to spin by the force of the water flow or users. The overall height of the top Play Pond shall be no less than 34.75” (88cm). The overall height of the lower Play Ponds shall be no less than 23” (58.5cm). The Top Play Pond with Basins shall be anchored with a SAFESWAP™ Anchoring System. All other Play Ponds shall be fastened to the surface with mechanical anchors.</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2A4FB8B" w14:textId="17279C5D" w:rsidR="00334BA8" w:rsidRPr="00334BA8" w:rsidRDefault="00783E31" w:rsidP="00334BA8">
      <w:pPr>
        <w:numPr>
          <w:ilvl w:val="1"/>
          <w:numId w:val="1"/>
        </w:numPr>
        <w:autoSpaceDE w:val="0"/>
        <w:autoSpaceDN w:val="0"/>
        <w:adjustRightInd w:val="0"/>
        <w:rPr>
          <w:rFonts w:ascii="Gotham Book" w:hAnsi="Gotham Book" w:cs="Century Gothic"/>
          <w:bCs/>
          <w:noProof/>
          <w:sz w:val="20"/>
          <w:szCs w:val="20"/>
        </w:rPr>
      </w:pPr>
      <w:r w:rsidRPr="00334BA8">
        <w:rPr>
          <w:rFonts w:ascii="Gotham Bold" w:hAnsi="Gotham Bold" w:cs="Century Gothic"/>
          <w:bCs/>
          <w:sz w:val="20"/>
          <w:szCs w:val="20"/>
        </w:rPr>
        <w:t>Overall play product dimensions:</w:t>
      </w:r>
      <w:r w:rsidRPr="00334BA8">
        <w:rPr>
          <w:rFonts w:ascii="Gotham Book" w:hAnsi="Gotham Book" w:cs="Century Gothic"/>
          <w:bCs/>
          <w:noProof/>
          <w:sz w:val="20"/>
          <w:szCs w:val="20"/>
        </w:rPr>
        <w:t xml:space="preserve"> </w:t>
      </w:r>
      <w:r w:rsidR="00334BA8" w:rsidRPr="00334BA8">
        <w:rPr>
          <w:rFonts w:ascii="Gotham Book" w:hAnsi="Gotham Book" w:cs="Century Gothic"/>
          <w:bCs/>
          <w:noProof/>
          <w:sz w:val="20"/>
          <w:szCs w:val="20"/>
        </w:rPr>
        <w:t>The overall height of the Cascade River shall be no less than 65” (164cm) with a width of 47” (118cm) and a length of 153” (389cm).</w:t>
      </w:r>
    </w:p>
    <w:p w14:paraId="2D618640" w14:textId="77777777" w:rsidR="00783E31" w:rsidRPr="00334BA8" w:rsidRDefault="00783E31" w:rsidP="00334BA8">
      <w:pPr>
        <w:autoSpaceDE w:val="0"/>
        <w:autoSpaceDN w:val="0"/>
        <w:adjustRightInd w:val="0"/>
        <w:ind w:left="360"/>
        <w:rPr>
          <w:rFonts w:ascii="Gotham Book" w:hAnsi="Gotham Book" w:cs="Century Gothic"/>
          <w:bCs/>
          <w:sz w:val="20"/>
          <w:szCs w:val="20"/>
        </w:rPr>
      </w:pPr>
    </w:p>
    <w:p w14:paraId="146FE998" w14:textId="5C4A5E2A" w:rsidR="00334BA8" w:rsidRPr="00334BA8" w:rsidRDefault="00783E31" w:rsidP="00334BA8">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334BA8" w:rsidRPr="00334BA8">
        <w:rPr>
          <w:rFonts w:ascii="Gotham Book" w:hAnsi="Gotham Book" w:cs="Century Gothic"/>
          <w:bCs/>
          <w:noProof/>
          <w:sz w:val="20"/>
          <w:szCs w:val="20"/>
        </w:rPr>
        <w:t xml:space="preserve">Users can play with the water flow in the Play Ponds and Basins as well as interact with the ORBS and Waves to splash around. Users must work together to keep the water flowing from one Play Pond to the next to keep the ORBS spinning. </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0ABB6A19" w14:textId="15507EE4" w:rsidR="00334BA8" w:rsidRPr="00334BA8" w:rsidRDefault="00783E31" w:rsidP="00334BA8">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334BA8" w:rsidRPr="00334BA8">
        <w:rPr>
          <w:rFonts w:ascii="Gotham Book" w:hAnsi="Gotham Book" w:cs="Century Gothic"/>
          <w:bCs/>
          <w:noProof/>
          <w:sz w:val="20"/>
          <w:szCs w:val="20"/>
        </w:rPr>
        <w:t xml:space="preserve">The Cascade River top Basin shall be filled with water from the water line connection and then cascade into the next Basin without overflow. The bottom Basin will cascade down the water into the top Play Pond. Water will flow in both direction of the top Pond to activate the Orb from the Play Ponds below and cascade down until it reaches the floor. </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1C97A861" w14:textId="26477853" w:rsidR="00334BA8" w:rsidRPr="00334BA8" w:rsidRDefault="00783E31" w:rsidP="00675648">
      <w:pPr>
        <w:numPr>
          <w:ilvl w:val="1"/>
          <w:numId w:val="1"/>
        </w:numPr>
        <w:autoSpaceDE w:val="0"/>
        <w:autoSpaceDN w:val="0"/>
        <w:adjustRightInd w:val="0"/>
        <w:rPr>
          <w:rFonts w:ascii="Gotham Book" w:hAnsi="Gotham Book" w:cs="Century Gothic"/>
          <w:bCs/>
          <w:noProof/>
          <w:sz w:val="20"/>
          <w:szCs w:val="20"/>
        </w:rPr>
      </w:pPr>
      <w:r w:rsidRPr="00334BA8">
        <w:rPr>
          <w:rFonts w:ascii="Gotham Bold" w:hAnsi="Gotham Bold" w:cs="Century Gothic"/>
          <w:sz w:val="20"/>
          <w:szCs w:val="20"/>
        </w:rPr>
        <w:t>Hydraulic Requirements</w:t>
      </w:r>
      <w:r w:rsidRPr="00334BA8">
        <w:rPr>
          <w:rFonts w:ascii="Gotham Bold" w:hAnsi="Gotham Bold" w:cs="Century Gothic"/>
          <w:sz w:val="20"/>
          <w:szCs w:val="20"/>
          <w:lang w:val="en-US"/>
        </w:rPr>
        <w:t>:</w:t>
      </w:r>
      <w:r w:rsidR="00334BA8">
        <w:rPr>
          <w:rFonts w:ascii="Gotham Bold" w:hAnsi="Gotham Bold" w:cs="Century Gothic"/>
          <w:sz w:val="20"/>
          <w:szCs w:val="20"/>
          <w:lang w:val="en-US"/>
        </w:rPr>
        <w:t xml:space="preserve"> </w:t>
      </w:r>
      <w:r w:rsidR="00334BA8" w:rsidRPr="00334BA8">
        <w:rPr>
          <w:rFonts w:ascii="Gotham Book" w:hAnsi="Gotham Book" w:cs="Century Gothic"/>
          <w:bCs/>
          <w:noProof/>
          <w:sz w:val="20"/>
          <w:szCs w:val="20"/>
        </w:rPr>
        <w:t xml:space="preserve">The hydraulic requirements shall be 4-6 gpm (15-23 lpm) @ 3-4 psi (0.2-0.3 bar). </w:t>
      </w:r>
    </w:p>
    <w:p w14:paraId="77B0F145" w14:textId="48D1E610" w:rsidR="00334BA8" w:rsidRDefault="00334BA8">
      <w:pPr>
        <w:sectPr w:rsidR="00334BA8"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0B66ABC4" w14:textId="7CD841DC" w:rsidR="00B65694" w:rsidRPr="00B65694" w:rsidRDefault="00B65694" w:rsidP="00B65694"/>
    <w:p w14:paraId="0F6395F4" w14:textId="7A7C5D05"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Nunito">
    <w:panose1 w:val="00000500000000000000"/>
    <w:charset w:val="00"/>
    <w:family w:val="auto"/>
    <w:pitch w:val="variable"/>
    <w:sig w:usb0="20000007" w:usb1="00000001" w:usb2="00000000" w:usb3="00000000" w:csb0="000001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34651C7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34BA8">
      <w:rPr>
        <w:rStyle w:val="PageNumber"/>
        <w:rFonts w:ascii="Gotham Medium" w:hAnsi="Gotham Medium"/>
        <w:noProof/>
        <w:color w:val="548DD4"/>
        <w:sz w:val="14"/>
        <w:szCs w:val="14"/>
      </w:rPr>
      <w:t>15/04/2022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273389AC" w14:textId="3F6DBBE9" w:rsidR="00783E31" w:rsidRDefault="00B65694" w:rsidP="00334BA8">
    <w:pPr>
      <w:autoSpaceDE w:val="0"/>
      <w:autoSpaceDN w:val="0"/>
      <w:adjustRightInd w:val="0"/>
      <w:jc w:val="center"/>
      <w:rPr>
        <w:rFonts w:ascii="Gotham Bold" w:hAnsi="Gotham Bold" w:cs="Century Gothic"/>
        <w:bCs/>
        <w:noProof/>
      </w:rPr>
    </w:pPr>
    <w:r>
      <w:rPr>
        <w:rFonts w:ascii="Gotham Bold" w:hAnsi="Gotham Bold" w:cs="Century Gothic"/>
        <w:bCs/>
        <w:noProof/>
      </w:rPr>
      <w:t xml:space="preserve">VOR </w:t>
    </w:r>
    <w:r w:rsidR="00334BA8">
      <w:rPr>
        <w:rFonts w:ascii="Gotham Bold" w:hAnsi="Gotham Bold" w:cs="Century Gothic"/>
        <w:bCs/>
        <w:noProof/>
      </w:rPr>
      <w:t>7249</w:t>
    </w:r>
  </w:p>
  <w:p w14:paraId="6FCEB461" w14:textId="77777777" w:rsidR="00334BA8" w:rsidRDefault="00334BA8" w:rsidP="00334BA8">
    <w:pPr>
      <w:autoSpaceDE w:val="0"/>
      <w:autoSpaceDN w:val="0"/>
      <w:adjustRightIn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334BA8"/>
    <w:rsid w:val="00443F3D"/>
    <w:rsid w:val="00580289"/>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customStyle="1" w:styleId="CSItextCSI">
    <w:name w:val="CSI text (CSI)"/>
    <w:basedOn w:val="Normal"/>
    <w:uiPriority w:val="99"/>
    <w:rsid w:val="00334BA8"/>
    <w:pPr>
      <w:autoSpaceDE w:val="0"/>
      <w:autoSpaceDN w:val="0"/>
      <w:adjustRightInd w:val="0"/>
      <w:spacing w:before="140" w:line="240" w:lineRule="atLeast"/>
      <w:ind w:left="720"/>
      <w:textAlignment w:val="center"/>
    </w:pPr>
    <w:rPr>
      <w:rFonts w:ascii="Nunito" w:eastAsia="Calibri" w:hAnsi="Nunito" w:cs="Nunito"/>
      <w:color w:val="2F4BA0"/>
      <w:sz w:val="22"/>
      <w:szCs w:val="22"/>
      <w:lang w:val="fr-CA" w:eastAsia="en-US"/>
    </w:rPr>
  </w:style>
  <w:style w:type="paragraph" w:styleId="ListParagraph">
    <w:name w:val="List Paragraph"/>
    <w:basedOn w:val="Normal"/>
    <w:uiPriority w:val="34"/>
    <w:qFormat/>
    <w:rsid w:val="0033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2022-04-15T19:11:00Z</dcterms:modified>
</cp:coreProperties>
</file>