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191814" w:rsidRDefault="00783E31" w:rsidP="00DB4881">
      <w:pPr>
        <w:autoSpaceDE w:val="0"/>
        <w:autoSpaceDN w:val="0"/>
        <w:adjustRightInd w:val="0"/>
        <w:rPr>
          <w:rFonts w:ascii="Gotham" w:hAnsi="Gotham" w:cs="Century Gothic"/>
          <w:bCs/>
          <w:sz w:val="20"/>
          <w:szCs w:val="20"/>
          <w:lang w:val="en-US"/>
        </w:rPr>
      </w:pPr>
      <w:r w:rsidRPr="00191814">
        <w:rPr>
          <w:rFonts w:ascii="Gotham" w:hAnsi="Gotham" w:cs="Century Gothic"/>
          <w:sz w:val="20"/>
          <w:szCs w:val="20"/>
        </w:rPr>
        <w:t>Please refer to PART 1: VORTEX GENERAL CLAUSES for all Play Product construction and installation information</w:t>
      </w:r>
      <w:r w:rsidRPr="00191814">
        <w:rPr>
          <w:rFonts w:ascii="Gotham" w:hAnsi="Gotham" w:cs="Century Gothic"/>
          <w:sz w:val="20"/>
          <w:szCs w:val="20"/>
          <w:lang w:val="en-US"/>
        </w:rPr>
        <w:t>.</w:t>
      </w:r>
    </w:p>
    <w:p w14:paraId="3FF6C41C" w14:textId="77777777" w:rsidR="00783E31" w:rsidRPr="00191814" w:rsidRDefault="00783E31" w:rsidP="00DB4881">
      <w:pPr>
        <w:autoSpaceDE w:val="0"/>
        <w:autoSpaceDN w:val="0"/>
        <w:adjustRightInd w:val="0"/>
        <w:rPr>
          <w:rFonts w:ascii="Gotham" w:hAnsi="Gotham" w:cs="Century Gothic"/>
          <w:b/>
          <w:bCs/>
          <w:sz w:val="20"/>
          <w:szCs w:val="20"/>
          <w:lang w:val="en-US"/>
        </w:rPr>
      </w:pPr>
    </w:p>
    <w:p w14:paraId="78CE3E36" w14:textId="77777777" w:rsidR="00783E31" w:rsidRPr="00191814" w:rsidRDefault="00783E31" w:rsidP="00DB4881">
      <w:pPr>
        <w:numPr>
          <w:ilvl w:val="0"/>
          <w:numId w:val="1"/>
        </w:numPr>
        <w:autoSpaceDE w:val="0"/>
        <w:autoSpaceDN w:val="0"/>
        <w:adjustRightInd w:val="0"/>
        <w:rPr>
          <w:rFonts w:ascii="Gotham" w:hAnsi="Gotham" w:cs="Century Gothic"/>
          <w:bCs/>
          <w:sz w:val="22"/>
          <w:szCs w:val="22"/>
        </w:rPr>
      </w:pPr>
      <w:r w:rsidRPr="00191814">
        <w:rPr>
          <w:rFonts w:ascii="Gotham" w:hAnsi="Gotham" w:cs="Century Gothic"/>
          <w:bCs/>
          <w:sz w:val="22"/>
          <w:szCs w:val="22"/>
        </w:rPr>
        <w:t>Play Product Specifications:</w:t>
      </w:r>
    </w:p>
    <w:p w14:paraId="1B3587DE" w14:textId="77777777" w:rsidR="00783E31" w:rsidRPr="00191814" w:rsidRDefault="00783E31" w:rsidP="00DB4881">
      <w:pPr>
        <w:autoSpaceDE w:val="0"/>
        <w:autoSpaceDN w:val="0"/>
        <w:adjustRightInd w:val="0"/>
        <w:rPr>
          <w:rFonts w:ascii="Gotham" w:hAnsi="Gotham" w:cs="Century Gothic"/>
          <w:b/>
          <w:bCs/>
          <w:sz w:val="20"/>
          <w:szCs w:val="20"/>
        </w:rPr>
      </w:pPr>
    </w:p>
    <w:p w14:paraId="5185383C" w14:textId="2BFA58EA" w:rsidR="00B65694" w:rsidRPr="00191814" w:rsidRDefault="00783E31" w:rsidP="00FE0870">
      <w:pPr>
        <w:numPr>
          <w:ilvl w:val="1"/>
          <w:numId w:val="1"/>
        </w:numPr>
        <w:autoSpaceDE w:val="0"/>
        <w:autoSpaceDN w:val="0"/>
        <w:adjustRightInd w:val="0"/>
        <w:rPr>
          <w:rFonts w:ascii="Gotham" w:hAnsi="Gotham" w:cs="Century Gothic"/>
          <w:bCs/>
          <w:sz w:val="20"/>
          <w:szCs w:val="20"/>
        </w:rPr>
      </w:pPr>
      <w:r w:rsidRPr="00191814">
        <w:rPr>
          <w:rFonts w:ascii="Gotham" w:hAnsi="Gotham" w:cs="Century Gothic"/>
          <w:bCs/>
          <w:sz w:val="20"/>
          <w:szCs w:val="20"/>
        </w:rPr>
        <w:t>Play Product Structure:</w:t>
      </w:r>
      <w:r w:rsidRPr="00191814">
        <w:rPr>
          <w:rFonts w:ascii="Gotham" w:hAnsi="Gotham" w:cs="Century Gothic"/>
          <w:b/>
          <w:bCs/>
          <w:sz w:val="20"/>
          <w:szCs w:val="20"/>
        </w:rPr>
        <w:t xml:space="preserve"> </w:t>
      </w:r>
      <w:r w:rsidR="007965A8" w:rsidRPr="00191814">
        <w:rPr>
          <w:rFonts w:ascii="Gotham" w:hAnsi="Gotham" w:cs="Century Gothic"/>
          <w:bCs/>
          <w:sz w:val="20"/>
          <w:szCs w:val="20"/>
        </w:rPr>
        <w:t>The Oak Tree, VOR 8493, shall be constructed of 304/304L stainless steel structural tubing with an outside diameter of 4</w:t>
      </w:r>
      <w:r w:rsidR="007965A8" w:rsidRPr="00191814">
        <w:rPr>
          <w:rFonts w:ascii="Cambria" w:hAnsi="Cambria" w:cs="Cambria"/>
          <w:bCs/>
          <w:sz w:val="20"/>
          <w:szCs w:val="20"/>
        </w:rPr>
        <w:t>½</w:t>
      </w:r>
      <w:r w:rsidR="007965A8" w:rsidRPr="00191814">
        <w:rPr>
          <w:rFonts w:ascii="Gotham" w:hAnsi="Gotham" w:cs="Century Gothic"/>
          <w:bCs/>
          <w:sz w:val="20"/>
          <w:szCs w:val="20"/>
        </w:rPr>
        <w:t>" (11.4cm) and a wall thickness of .</w:t>
      </w:r>
      <w:r w:rsidR="00191814">
        <w:rPr>
          <w:rFonts w:ascii="Gotham" w:hAnsi="Gotham" w:cs="Century Gothic"/>
          <w:bCs/>
          <w:sz w:val="20"/>
          <w:szCs w:val="20"/>
        </w:rPr>
        <w:t>237</w:t>
      </w:r>
      <w:r w:rsidR="007965A8" w:rsidRPr="00191814">
        <w:rPr>
          <w:rFonts w:ascii="Gotham" w:hAnsi="Gotham" w:cs="Century Gothic"/>
          <w:bCs/>
          <w:sz w:val="20"/>
          <w:szCs w:val="20"/>
        </w:rPr>
        <w:t>" (</w:t>
      </w:r>
      <w:r w:rsidR="00191814">
        <w:rPr>
          <w:rFonts w:ascii="Gotham" w:hAnsi="Gotham" w:cs="Century Gothic"/>
          <w:bCs/>
          <w:sz w:val="20"/>
          <w:szCs w:val="20"/>
        </w:rPr>
        <w:t>6</w:t>
      </w:r>
      <w:r w:rsidR="007965A8" w:rsidRPr="00191814">
        <w:rPr>
          <w:rFonts w:ascii="Gotham" w:hAnsi="Gotham" w:cs="Century Gothic"/>
          <w:bCs/>
          <w:sz w:val="20"/>
          <w:szCs w:val="20"/>
        </w:rPr>
        <w:t xml:space="preserve">mm) for the trunk. The branches shall be constructed in different sizes of piping, it could be 2" pipe or 3" pipe. There shall be one (1) dumping bucket mounted on the first branch using a tamper-resistant </w:t>
      </w:r>
      <w:proofErr w:type="gramStart"/>
      <w:r w:rsidR="007965A8" w:rsidRPr="00191814">
        <w:rPr>
          <w:rFonts w:ascii="Gotham" w:hAnsi="Gotham" w:cs="Century Gothic"/>
          <w:bCs/>
          <w:sz w:val="20"/>
          <w:szCs w:val="20"/>
        </w:rPr>
        <w:t>stainless steel</w:t>
      </w:r>
      <w:proofErr w:type="gramEnd"/>
      <w:r w:rsidR="007965A8" w:rsidRPr="00191814">
        <w:rPr>
          <w:rFonts w:ascii="Gotham" w:hAnsi="Gotham" w:cs="Century Gothic"/>
          <w:bCs/>
          <w:sz w:val="20"/>
          <w:szCs w:val="20"/>
        </w:rPr>
        <w:t xml:space="preserve"> shaft. The bucket shall be constructed of high density </w:t>
      </w:r>
      <w:proofErr w:type="gramStart"/>
      <w:r w:rsidR="007965A8" w:rsidRPr="00191814">
        <w:rPr>
          <w:rFonts w:ascii="Gotham" w:hAnsi="Gotham" w:cs="Century Gothic"/>
          <w:bCs/>
          <w:sz w:val="20"/>
          <w:szCs w:val="20"/>
        </w:rPr>
        <w:t>fiberglass, and</w:t>
      </w:r>
      <w:proofErr w:type="gramEnd"/>
      <w:r w:rsidR="007965A8" w:rsidRPr="00191814">
        <w:rPr>
          <w:rFonts w:ascii="Gotham" w:hAnsi="Gotham" w:cs="Century Gothic"/>
          <w:bCs/>
          <w:sz w:val="20"/>
          <w:szCs w:val="20"/>
        </w:rPr>
        <w:t xml:space="preserve"> include an integrated non-visible counterweight system. The counterweight system and selectable mounting orientation will determine the bucket’s main dumping direction. Five (5) nozzles are inserts in the bottom part of along the trunk.  All nozzles are to be flush with the surface to eliminate finger entrapment and protrusion hazards. The leaves shall consist of rounded SEEFLOW™ Polymer panel fastened to the branches with tamper resistant hardware. The SAFESWAP™ anchoring and leveling system shall be used.</w:t>
      </w:r>
    </w:p>
    <w:p w14:paraId="6B8E0E88" w14:textId="62DB98D7" w:rsidR="00783E31" w:rsidRPr="00191814" w:rsidRDefault="00783E31" w:rsidP="007965A8">
      <w:pPr>
        <w:autoSpaceDE w:val="0"/>
        <w:autoSpaceDN w:val="0"/>
        <w:adjustRightInd w:val="0"/>
        <w:ind w:left="792"/>
        <w:rPr>
          <w:rFonts w:ascii="Gotham" w:hAnsi="Gotham" w:cs="Century Gothic"/>
          <w:bCs/>
          <w:sz w:val="20"/>
          <w:szCs w:val="20"/>
        </w:rPr>
      </w:pPr>
    </w:p>
    <w:p w14:paraId="64E0B31A" w14:textId="44B552F1" w:rsidR="007965A8" w:rsidRPr="00191814" w:rsidRDefault="00783E31" w:rsidP="00DB4881">
      <w:pPr>
        <w:numPr>
          <w:ilvl w:val="1"/>
          <w:numId w:val="1"/>
        </w:numPr>
        <w:autoSpaceDE w:val="0"/>
        <w:autoSpaceDN w:val="0"/>
        <w:adjustRightInd w:val="0"/>
        <w:rPr>
          <w:rFonts w:ascii="Gotham" w:hAnsi="Gotham" w:cs="Century Gothic"/>
          <w:bCs/>
          <w:sz w:val="20"/>
          <w:szCs w:val="20"/>
        </w:rPr>
      </w:pPr>
      <w:r w:rsidRPr="00191814">
        <w:rPr>
          <w:rFonts w:ascii="Gotham" w:hAnsi="Gotham" w:cs="Century Gothic"/>
          <w:bCs/>
          <w:sz w:val="20"/>
          <w:szCs w:val="20"/>
        </w:rPr>
        <w:t xml:space="preserve">Overall play product dimensions: </w:t>
      </w:r>
      <w:r w:rsidR="007965A8" w:rsidRPr="00191814">
        <w:rPr>
          <w:rFonts w:ascii="Gotham" w:hAnsi="Gotham" w:cs="Century Gothic"/>
          <w:bCs/>
          <w:sz w:val="20"/>
          <w:szCs w:val="20"/>
        </w:rPr>
        <w:t xml:space="preserve">It shall have an overall height of </w:t>
      </w:r>
      <w:r w:rsidR="00191814">
        <w:rPr>
          <w:rFonts w:ascii="Gotham" w:hAnsi="Gotham" w:cs="Century Gothic"/>
          <w:bCs/>
          <w:sz w:val="20"/>
          <w:szCs w:val="20"/>
        </w:rPr>
        <w:t>199</w:t>
      </w:r>
      <w:r w:rsidR="007965A8" w:rsidRPr="00191814">
        <w:rPr>
          <w:rFonts w:ascii="Gotham" w:hAnsi="Gotham" w:cs="Century Gothic"/>
          <w:bCs/>
          <w:sz w:val="20"/>
          <w:szCs w:val="20"/>
        </w:rPr>
        <w:t>" (5</w:t>
      </w:r>
      <w:r w:rsidR="00191814">
        <w:rPr>
          <w:rFonts w:ascii="Gotham" w:hAnsi="Gotham" w:cs="Century Gothic"/>
          <w:bCs/>
          <w:sz w:val="20"/>
          <w:szCs w:val="20"/>
        </w:rPr>
        <w:t>05</w:t>
      </w:r>
      <w:r w:rsidR="007965A8" w:rsidRPr="00191814">
        <w:rPr>
          <w:rFonts w:ascii="Gotham" w:hAnsi="Gotham" w:cs="Century Gothic"/>
          <w:bCs/>
          <w:sz w:val="20"/>
          <w:szCs w:val="20"/>
        </w:rPr>
        <w:t>cm) a width of 1</w:t>
      </w:r>
      <w:r w:rsidR="00191814">
        <w:rPr>
          <w:rFonts w:ascii="Gotham" w:hAnsi="Gotham" w:cs="Century Gothic"/>
          <w:bCs/>
          <w:sz w:val="20"/>
          <w:szCs w:val="20"/>
        </w:rPr>
        <w:t>4</w:t>
      </w:r>
      <w:r w:rsidR="007965A8" w:rsidRPr="00191814">
        <w:rPr>
          <w:rFonts w:ascii="Gotham" w:hAnsi="Gotham" w:cs="Century Gothic"/>
          <w:bCs/>
          <w:sz w:val="20"/>
          <w:szCs w:val="20"/>
        </w:rPr>
        <w:t>" (3</w:t>
      </w:r>
      <w:r w:rsidR="00191814">
        <w:rPr>
          <w:rFonts w:ascii="Gotham" w:hAnsi="Gotham" w:cs="Century Gothic"/>
          <w:bCs/>
          <w:sz w:val="20"/>
          <w:szCs w:val="20"/>
        </w:rPr>
        <w:t>6</w:t>
      </w:r>
      <w:r w:rsidR="007965A8" w:rsidRPr="00191814">
        <w:rPr>
          <w:rFonts w:ascii="Gotham" w:hAnsi="Gotham" w:cs="Century Gothic"/>
          <w:bCs/>
          <w:sz w:val="20"/>
          <w:szCs w:val="20"/>
        </w:rPr>
        <w:t xml:space="preserve"> cm) and a length of 9</w:t>
      </w:r>
      <w:r w:rsidR="00191814">
        <w:rPr>
          <w:rFonts w:ascii="Gotham" w:hAnsi="Gotham" w:cs="Century Gothic"/>
          <w:bCs/>
          <w:sz w:val="20"/>
          <w:szCs w:val="20"/>
        </w:rPr>
        <w:t>5</w:t>
      </w:r>
      <w:r w:rsidR="007965A8" w:rsidRPr="00191814">
        <w:rPr>
          <w:rFonts w:ascii="Gotham" w:hAnsi="Gotham" w:cs="Century Gothic"/>
          <w:bCs/>
          <w:sz w:val="20"/>
          <w:szCs w:val="20"/>
        </w:rPr>
        <w:t>" (2</w:t>
      </w:r>
      <w:r w:rsidR="00191814">
        <w:rPr>
          <w:rFonts w:ascii="Gotham" w:hAnsi="Gotham" w:cs="Century Gothic"/>
          <w:bCs/>
          <w:sz w:val="20"/>
          <w:szCs w:val="20"/>
        </w:rPr>
        <w:t>41</w:t>
      </w:r>
      <w:r w:rsidR="007965A8" w:rsidRPr="00191814">
        <w:rPr>
          <w:rFonts w:ascii="Gotham" w:hAnsi="Gotham" w:cs="Century Gothic"/>
          <w:bCs/>
          <w:sz w:val="20"/>
          <w:szCs w:val="20"/>
        </w:rPr>
        <w:t xml:space="preserve"> cm). The feature has a maximum of head clearance of 105" (268cm)</w:t>
      </w:r>
    </w:p>
    <w:p w14:paraId="1B43E3CF" w14:textId="77777777" w:rsidR="007965A8" w:rsidRPr="00191814" w:rsidRDefault="007965A8" w:rsidP="007965A8">
      <w:pPr>
        <w:autoSpaceDE w:val="0"/>
        <w:autoSpaceDN w:val="0"/>
        <w:adjustRightInd w:val="0"/>
        <w:ind w:left="792"/>
        <w:rPr>
          <w:rFonts w:ascii="Gotham" w:hAnsi="Gotham" w:cs="Century Gothic"/>
          <w:bCs/>
          <w:sz w:val="20"/>
          <w:szCs w:val="20"/>
        </w:rPr>
      </w:pPr>
    </w:p>
    <w:p w14:paraId="614FB49B" w14:textId="3F0792EB" w:rsidR="00783E31" w:rsidRPr="00191814" w:rsidRDefault="00783E31" w:rsidP="00DB4881">
      <w:pPr>
        <w:numPr>
          <w:ilvl w:val="1"/>
          <w:numId w:val="1"/>
        </w:numPr>
        <w:autoSpaceDE w:val="0"/>
        <w:autoSpaceDN w:val="0"/>
        <w:adjustRightInd w:val="0"/>
        <w:rPr>
          <w:rFonts w:ascii="Gotham" w:hAnsi="Gotham" w:cs="Century Gothic"/>
          <w:bCs/>
          <w:sz w:val="20"/>
          <w:szCs w:val="20"/>
        </w:rPr>
      </w:pPr>
      <w:r w:rsidRPr="00191814">
        <w:rPr>
          <w:rFonts w:ascii="Gotham" w:hAnsi="Gotham" w:cs="Century Gothic"/>
          <w:bCs/>
          <w:sz w:val="20"/>
          <w:szCs w:val="20"/>
        </w:rPr>
        <w:t xml:space="preserve">Play Product Interactivity: </w:t>
      </w:r>
      <w:r w:rsidR="007965A8" w:rsidRPr="00191814">
        <w:rPr>
          <w:rFonts w:ascii="Gotham" w:hAnsi="Gotham" w:cs="Century Gothic"/>
          <w:bCs/>
          <w:sz w:val="20"/>
          <w:szCs w:val="20"/>
        </w:rPr>
        <w:t>The users can enjoy the misty of the trunk and the Dumping Bucket shall create visual interest and build anticipation as the bucket fills and then dumps water in the immediate area.</w:t>
      </w:r>
    </w:p>
    <w:p w14:paraId="49D0826A" w14:textId="77777777" w:rsidR="00783E31" w:rsidRPr="00191814" w:rsidRDefault="00783E31" w:rsidP="007965A8">
      <w:pPr>
        <w:autoSpaceDE w:val="0"/>
        <w:autoSpaceDN w:val="0"/>
        <w:adjustRightInd w:val="0"/>
        <w:ind w:left="792"/>
        <w:rPr>
          <w:rFonts w:ascii="Gotham" w:hAnsi="Gotham" w:cs="Century Gothic"/>
          <w:bCs/>
          <w:sz w:val="20"/>
          <w:szCs w:val="20"/>
        </w:rPr>
      </w:pPr>
    </w:p>
    <w:p w14:paraId="5F27E9C2" w14:textId="5C501C18" w:rsidR="00783E31" w:rsidRPr="00191814" w:rsidRDefault="00783E31" w:rsidP="00DB4881">
      <w:pPr>
        <w:numPr>
          <w:ilvl w:val="1"/>
          <w:numId w:val="1"/>
        </w:numPr>
        <w:autoSpaceDE w:val="0"/>
        <w:autoSpaceDN w:val="0"/>
        <w:adjustRightInd w:val="0"/>
        <w:rPr>
          <w:rFonts w:ascii="Gotham" w:hAnsi="Gotham" w:cs="Century Gothic"/>
          <w:bCs/>
          <w:sz w:val="20"/>
          <w:szCs w:val="20"/>
        </w:rPr>
      </w:pPr>
      <w:r w:rsidRPr="00191814">
        <w:rPr>
          <w:rFonts w:ascii="Gotham" w:hAnsi="Gotham" w:cs="Century Gothic"/>
          <w:bCs/>
          <w:sz w:val="20"/>
          <w:szCs w:val="20"/>
        </w:rPr>
        <w:t>Hydraulic Activity/Components:</w:t>
      </w:r>
      <w:r w:rsidR="00F05F98" w:rsidRPr="00191814">
        <w:rPr>
          <w:rFonts w:ascii="Gotham" w:hAnsi="Gotham" w:cs="Century Gothic"/>
          <w:bCs/>
          <w:sz w:val="20"/>
          <w:szCs w:val="20"/>
        </w:rPr>
        <w:t xml:space="preserve"> </w:t>
      </w:r>
      <w:r w:rsidR="007965A8" w:rsidRPr="00191814">
        <w:rPr>
          <w:rFonts w:ascii="Gotham" w:hAnsi="Gotham" w:cs="Century Gothic"/>
          <w:bCs/>
          <w:sz w:val="20"/>
          <w:szCs w:val="20"/>
        </w:rPr>
        <w:t xml:space="preserve">All nozzle™ on the trunk shall produce a mist effect. The dumping jaw assembly shall be filled with water by an integrated </w:t>
      </w:r>
      <w:proofErr w:type="gramStart"/>
      <w:r w:rsidR="007965A8" w:rsidRPr="00191814">
        <w:rPr>
          <w:rFonts w:ascii="Gotham" w:hAnsi="Gotham" w:cs="Century Gothic"/>
          <w:bCs/>
          <w:sz w:val="20"/>
          <w:szCs w:val="20"/>
        </w:rPr>
        <w:t>water spout</w:t>
      </w:r>
      <w:proofErr w:type="gramEnd"/>
      <w:r w:rsidR="007965A8" w:rsidRPr="00191814">
        <w:rPr>
          <w:rFonts w:ascii="Gotham" w:hAnsi="Gotham" w:cs="Century Gothic"/>
          <w:bCs/>
          <w:sz w:val="20"/>
          <w:szCs w:val="20"/>
        </w:rPr>
        <w:t xml:space="preserve">, and shall be counterbalanced by an adjustable system to control the frequency and volume of water dumped. The volume of water dumped shall be no less than </w:t>
      </w:r>
      <w:r w:rsidR="007965A8" w:rsidRPr="00191814">
        <w:rPr>
          <w:rFonts w:ascii="Cambria" w:hAnsi="Cambria" w:cs="Cambria"/>
          <w:bCs/>
          <w:sz w:val="20"/>
          <w:szCs w:val="20"/>
        </w:rPr>
        <w:t>¾</w:t>
      </w:r>
      <w:r w:rsidR="007965A8" w:rsidRPr="00191814">
        <w:rPr>
          <w:rFonts w:ascii="Gotham" w:hAnsi="Gotham" w:cs="Century Gothic"/>
          <w:bCs/>
          <w:sz w:val="20"/>
          <w:szCs w:val="20"/>
        </w:rPr>
        <w:t xml:space="preserve"> of a US gallon (2.84 litres) and no greater than 1</w:t>
      </w:r>
      <w:r w:rsidR="007965A8" w:rsidRPr="00191814">
        <w:rPr>
          <w:rFonts w:ascii="Cambria" w:hAnsi="Cambria" w:cs="Cambria"/>
          <w:bCs/>
          <w:sz w:val="20"/>
          <w:szCs w:val="20"/>
        </w:rPr>
        <w:t>½</w:t>
      </w:r>
      <w:r w:rsidR="007965A8" w:rsidRPr="00191814">
        <w:rPr>
          <w:rFonts w:ascii="Gotham" w:hAnsi="Gotham" w:cs="Century Gothic"/>
          <w:bCs/>
          <w:sz w:val="20"/>
          <w:szCs w:val="20"/>
        </w:rPr>
        <w:t xml:space="preserve"> US gallons (5.68 litres). An incorporated drain pilot hole shall prevent the accumulation of stagnant water during non-operational hours.</w:t>
      </w:r>
    </w:p>
    <w:p w14:paraId="193F9BBC" w14:textId="77777777" w:rsidR="00783E31" w:rsidRPr="00191814" w:rsidRDefault="00783E31" w:rsidP="007965A8">
      <w:pPr>
        <w:autoSpaceDE w:val="0"/>
        <w:autoSpaceDN w:val="0"/>
        <w:adjustRightInd w:val="0"/>
        <w:ind w:left="792"/>
        <w:rPr>
          <w:rFonts w:ascii="Gotham" w:hAnsi="Gotham" w:cs="Century Gothic"/>
          <w:bCs/>
          <w:sz w:val="20"/>
          <w:szCs w:val="20"/>
        </w:rPr>
      </w:pPr>
    </w:p>
    <w:p w14:paraId="77B0F145" w14:textId="0FD1C586" w:rsidR="00783E31" w:rsidRPr="00191814" w:rsidRDefault="00783E31" w:rsidP="00850310">
      <w:pPr>
        <w:numPr>
          <w:ilvl w:val="1"/>
          <w:numId w:val="1"/>
        </w:numPr>
        <w:autoSpaceDE w:val="0"/>
        <w:autoSpaceDN w:val="0"/>
        <w:adjustRightInd w:val="0"/>
        <w:rPr>
          <w:rFonts w:ascii="Gotham" w:hAnsi="Gotham" w:cs="Century Gothic"/>
          <w:bCs/>
          <w:sz w:val="20"/>
          <w:szCs w:val="20"/>
        </w:rPr>
        <w:sectPr w:rsidR="00783E31" w:rsidRPr="00191814"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191814">
        <w:rPr>
          <w:rFonts w:ascii="Gotham" w:hAnsi="Gotham" w:cs="Century Gothic"/>
          <w:bCs/>
          <w:sz w:val="20"/>
          <w:szCs w:val="20"/>
        </w:rPr>
        <w:t xml:space="preserve">Hydraulic Requirements: </w:t>
      </w:r>
      <w:r w:rsidR="007965A8" w:rsidRPr="00191814">
        <w:rPr>
          <w:rFonts w:ascii="Gotham" w:hAnsi="Gotham" w:cs="Century Gothic"/>
          <w:bCs/>
          <w:sz w:val="20"/>
          <w:szCs w:val="20"/>
        </w:rPr>
        <w:t>The hydraulic requirements shall be 8-15 gpm (30-57 lpm) @ 10-25 psi (0.7 – 1.7 bar).</w:t>
      </w:r>
    </w:p>
    <w:p w14:paraId="5A24E65E" w14:textId="73F8EAED" w:rsidR="00783E31" w:rsidRDefault="00783E31"/>
    <w:p w14:paraId="2F59725F" w14:textId="15856C1F"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w:panose1 w:val="02000504050000020004"/>
    <w:charset w:val="00"/>
    <w:family w:val="auto"/>
    <w:pitch w:val="variable"/>
    <w:sig w:usb0="800000A7"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Gotham Bold">
    <w:altName w:val="Calibri"/>
    <w:panose1 w:val="020008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2E6C2AB5"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91814">
      <w:rPr>
        <w:rStyle w:val="PageNumber"/>
        <w:rFonts w:ascii="Gotham Medium" w:hAnsi="Gotham Medium"/>
        <w:noProof/>
        <w:color w:val="548DD4"/>
        <w:sz w:val="14"/>
        <w:szCs w:val="14"/>
      </w:rPr>
      <w:t>01/03/2023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273389AC" w14:textId="3D9D5FE7" w:rsidR="00783E31" w:rsidRDefault="00B65694" w:rsidP="007965A8">
    <w:pPr>
      <w:autoSpaceDE w:val="0"/>
      <w:autoSpaceDN w:val="0"/>
      <w:adjustRightInd w:val="0"/>
      <w:jc w:val="center"/>
      <w:rPr>
        <w:rFonts w:ascii="Gotham Bold" w:hAnsi="Gotham Bold" w:cs="Century Gothic"/>
        <w:bCs/>
        <w:noProof/>
      </w:rPr>
    </w:pPr>
    <w:r>
      <w:rPr>
        <w:rFonts w:ascii="Gotham Bold" w:hAnsi="Gotham Bold" w:cs="Century Gothic"/>
        <w:bCs/>
        <w:noProof/>
      </w:rPr>
      <w:t xml:space="preserve">VOR </w:t>
    </w:r>
    <w:r w:rsidR="007965A8">
      <w:rPr>
        <w:rFonts w:ascii="Gotham Bold" w:hAnsi="Gotham Bold" w:cs="Century Gothic"/>
        <w:bCs/>
        <w:noProof/>
      </w:rPr>
      <w:t>8493</w:t>
    </w:r>
  </w:p>
  <w:p w14:paraId="5974EEC4" w14:textId="77777777" w:rsidR="007965A8" w:rsidRDefault="007965A8" w:rsidP="007965A8">
    <w:pPr>
      <w:autoSpaceDE w:val="0"/>
      <w:autoSpaceDN w:val="0"/>
      <w:adjustRightIn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9229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91814"/>
    <w:rsid w:val="002D3113"/>
    <w:rsid w:val="00443F3D"/>
    <w:rsid w:val="00580289"/>
    <w:rsid w:val="005A7A3F"/>
    <w:rsid w:val="005E7D52"/>
    <w:rsid w:val="005F079C"/>
    <w:rsid w:val="00624363"/>
    <w:rsid w:val="00757453"/>
    <w:rsid w:val="00783E31"/>
    <w:rsid w:val="007965A8"/>
    <w:rsid w:val="008076EB"/>
    <w:rsid w:val="00B56C7B"/>
    <w:rsid w:val="00B65694"/>
    <w:rsid w:val="00BE21E5"/>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796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10</cp:revision>
  <dcterms:created xsi:type="dcterms:W3CDTF">2018-02-27T18:30:00Z</dcterms:created>
  <dcterms:modified xsi:type="dcterms:W3CDTF">2023-03-01T16:10:00Z</dcterms:modified>
</cp:coreProperties>
</file>